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Chapter 2 Questions</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the questions in complete sentences. </w:t>
      </w:r>
    </w:p>
    <w:p w:rsidR="00000000" w:rsidDel="00000000" w:rsidP="00000000" w:rsidRDefault="00000000" w:rsidRPr="00000000">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event is foreshadowed on pgs 26-27? Give a quote to support your prediction. </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Curley’s wife, including information about her relationships with Curley and the other men.</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what you know about the characters so far, what do you predict will be the major conflict in this story? </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might you compare the relationship between George and Lennie to the relationship between Candy and his old dog? </w:t>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second half of this chapter, the mood of the story changes. What words could describe the initial mood of the story and the mood after the change? What causes the change? </w:t>
      </w:r>
    </w:p>
    <w:p w:rsidR="00000000" w:rsidDel="00000000" w:rsidP="00000000" w:rsidRDefault="00000000" w:rsidRPr="00000000">
      <w:pPr>
        <w:spacing w:after="240"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Of Mice and Men </w:t>
    </w:r>
    <w:r w:rsidDel="00000000" w:rsidR="00000000" w:rsidRPr="00000000">
      <w:rPr>
        <w:rFonts w:ascii="Times New Roman" w:cs="Times New Roman" w:eastAsia="Times New Roman" w:hAnsi="Times New Roman"/>
        <w:rtl w:val="0"/>
      </w:rPr>
      <w:t xml:space="preserve">by John Steinbeck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